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D9D9"/>
              </w:rPr>
              <w:t>ormularz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60F06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563678" w14:textId="221C2890" w:rsidR="008F7C39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do udziału w zagraniczn</w:t>
            </w:r>
            <w:r w:rsidR="0075003E"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misj</w:t>
            </w:r>
            <w:r w:rsidR="0075003E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gospodarcz</w:t>
            </w:r>
            <w:r w:rsidR="0075003E">
              <w:rPr>
                <w:rFonts w:asciiTheme="minorHAnsi" w:hAnsiTheme="minorHAnsi" w:cstheme="minorHAnsi"/>
                <w:b/>
                <w:sz w:val="20"/>
                <w:szCs w:val="20"/>
              </w:rPr>
              <w:t>ej do Turcji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organizowan</w:t>
            </w:r>
            <w:r w:rsidR="0075003E"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przez Fundusz Górnośląski S.A.</w:t>
            </w: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4492E38E" w14:textId="77777777" w:rsidTr="00A91E58">
        <w:tc>
          <w:tcPr>
            <w:tcW w:w="9065" w:type="dxa"/>
            <w:gridSpan w:val="2"/>
            <w:shd w:val="clear" w:color="auto" w:fill="D9D9D9"/>
          </w:tcPr>
          <w:p w14:paraId="42D489DD" w14:textId="77777777" w:rsidR="008F7C39" w:rsidRDefault="00B76DBC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DF0A16" w14:textId="0631639E" w:rsidR="00404228" w:rsidRPr="00404228" w:rsidRDefault="00404228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9391762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CA174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06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4C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minimis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lastRenderedPageBreak/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34D33B1A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ulicy Sokolskiej 8, 40-086.; dane kontaktowe: telefon +48 32 200 84 00,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lastRenderedPageBreak/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(40-086), ul. Sokolska 8,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5EE3B68A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(40-086), ul. Sokolska 8,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A3FB" w14:textId="77777777" w:rsidR="00EB3326" w:rsidRDefault="00EB3326">
      <w:r>
        <w:separator/>
      </w:r>
    </w:p>
  </w:endnote>
  <w:endnote w:type="continuationSeparator" w:id="0">
    <w:p w14:paraId="668BA745" w14:textId="77777777" w:rsidR="00EB3326" w:rsidRDefault="00EB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9BD6" w14:textId="77777777" w:rsidR="00EB3326" w:rsidRDefault="00EB3326">
      <w:pPr>
        <w:rPr>
          <w:sz w:val="12"/>
        </w:rPr>
      </w:pPr>
      <w:r>
        <w:separator/>
      </w:r>
    </w:p>
  </w:footnote>
  <w:footnote w:type="continuationSeparator" w:id="0">
    <w:p w14:paraId="24972EB3" w14:textId="77777777" w:rsidR="00EB3326" w:rsidRDefault="00EB3326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61195"/>
    <w:rsid w:val="00085BB8"/>
    <w:rsid w:val="000A3BBB"/>
    <w:rsid w:val="000A5F16"/>
    <w:rsid w:val="000D1B28"/>
    <w:rsid w:val="000D7748"/>
    <w:rsid w:val="001502CA"/>
    <w:rsid w:val="00151D3F"/>
    <w:rsid w:val="00164FEB"/>
    <w:rsid w:val="001D4436"/>
    <w:rsid w:val="001E50FC"/>
    <w:rsid w:val="00202BC8"/>
    <w:rsid w:val="00203793"/>
    <w:rsid w:val="00213679"/>
    <w:rsid w:val="002262FC"/>
    <w:rsid w:val="00272F82"/>
    <w:rsid w:val="00275614"/>
    <w:rsid w:val="00284A6F"/>
    <w:rsid w:val="00287687"/>
    <w:rsid w:val="0029777E"/>
    <w:rsid w:val="002A016A"/>
    <w:rsid w:val="002B78EC"/>
    <w:rsid w:val="002C2487"/>
    <w:rsid w:val="003153C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1E29"/>
    <w:rsid w:val="004533E6"/>
    <w:rsid w:val="00460F06"/>
    <w:rsid w:val="004B439B"/>
    <w:rsid w:val="004C4B67"/>
    <w:rsid w:val="004D7869"/>
    <w:rsid w:val="004E3942"/>
    <w:rsid w:val="00505AED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A4F25"/>
    <w:rsid w:val="006D2ED8"/>
    <w:rsid w:val="00703C74"/>
    <w:rsid w:val="00723C31"/>
    <w:rsid w:val="0072576A"/>
    <w:rsid w:val="0072756B"/>
    <w:rsid w:val="00736777"/>
    <w:rsid w:val="0075003E"/>
    <w:rsid w:val="00750C9D"/>
    <w:rsid w:val="007516BA"/>
    <w:rsid w:val="00754052"/>
    <w:rsid w:val="007677AB"/>
    <w:rsid w:val="00791A87"/>
    <w:rsid w:val="00797184"/>
    <w:rsid w:val="007C5FC9"/>
    <w:rsid w:val="007C6821"/>
    <w:rsid w:val="007E44F2"/>
    <w:rsid w:val="007E499C"/>
    <w:rsid w:val="007F7B29"/>
    <w:rsid w:val="00805D60"/>
    <w:rsid w:val="008068F0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B3DB2"/>
    <w:rsid w:val="00CB6598"/>
    <w:rsid w:val="00CB7BB8"/>
    <w:rsid w:val="00CE6C89"/>
    <w:rsid w:val="00CE7DE9"/>
    <w:rsid w:val="00CF2276"/>
    <w:rsid w:val="00D2165E"/>
    <w:rsid w:val="00D278AC"/>
    <w:rsid w:val="00D325AA"/>
    <w:rsid w:val="00D40672"/>
    <w:rsid w:val="00D41F40"/>
    <w:rsid w:val="00D45310"/>
    <w:rsid w:val="00D46236"/>
    <w:rsid w:val="00D84329"/>
    <w:rsid w:val="00D8458F"/>
    <w:rsid w:val="00D95EC8"/>
    <w:rsid w:val="00D96DE6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A3B7A"/>
    <w:rsid w:val="00EA753D"/>
    <w:rsid w:val="00EB3326"/>
    <w:rsid w:val="00EB40F2"/>
    <w:rsid w:val="00EB7E1C"/>
    <w:rsid w:val="00ED2856"/>
    <w:rsid w:val="00EE1BD0"/>
    <w:rsid w:val="00F21706"/>
    <w:rsid w:val="00F31485"/>
    <w:rsid w:val="00F47CE7"/>
    <w:rsid w:val="00F83F65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2230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Anna Oleszczuk</cp:lastModifiedBy>
  <cp:revision>4</cp:revision>
  <cp:lastPrinted>2024-03-26T08:04:00Z</cp:lastPrinted>
  <dcterms:created xsi:type="dcterms:W3CDTF">2024-09-16T09:25:00Z</dcterms:created>
  <dcterms:modified xsi:type="dcterms:W3CDTF">2026-02-23T10:29:00Z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